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DC973" w14:textId="1877E0C5" w:rsidR="0034602F" w:rsidRDefault="0034602F" w:rsidP="00337BFF">
      <w:pPr>
        <w:spacing w:after="0"/>
        <w:rPr>
          <w:rFonts w:eastAsia="Times New Roman" w:cs="Times New Roman"/>
          <w:b/>
          <w:bCs/>
          <w:lang w:val="en-US"/>
          <w14:ligatures w14:val="none"/>
        </w:rPr>
      </w:pPr>
      <w:r w:rsidRPr="0034602F">
        <w:rPr>
          <w:rFonts w:eastAsia="Times New Roman" w:cs="Times New Roman"/>
          <w:b/>
          <w:bCs/>
          <w:lang w:val="en-US"/>
          <w14:ligatures w14:val="none"/>
        </w:rPr>
        <w:t>Information on the EA consulting criteria in respect of the Wayland Pig Unit</w:t>
      </w:r>
    </w:p>
    <w:p w14:paraId="16AA3208" w14:textId="77777777" w:rsidR="0034602F" w:rsidRPr="0034602F" w:rsidRDefault="0034602F" w:rsidP="00337BFF">
      <w:pPr>
        <w:spacing w:after="0"/>
        <w:rPr>
          <w:rFonts w:eastAsia="Times New Roman" w:cs="Times New Roman"/>
          <w:b/>
          <w:bCs/>
          <w:lang w:val="en-US"/>
          <w14:ligatures w14:val="none"/>
        </w:rPr>
      </w:pPr>
    </w:p>
    <w:p w14:paraId="592B6F04" w14:textId="673960D8" w:rsidR="0034602F" w:rsidRDefault="0034602F" w:rsidP="00337BFF">
      <w:pPr>
        <w:spacing w:after="0"/>
        <w:rPr>
          <w:rFonts w:eastAsia="Times New Roman" w:cs="Times New Roman"/>
          <w:lang w:val="en-US"/>
          <w14:ligatures w14:val="none"/>
        </w:rPr>
      </w:pPr>
      <w:hyperlink r:id="rId5" w:history="1">
        <w:r w:rsidRPr="008701CF">
          <w:rPr>
            <w:rStyle w:val="Hyperlink"/>
            <w:rFonts w:eastAsia="Times New Roman" w:cs="Times New Roman"/>
            <w:lang w:val="en-US"/>
            <w14:ligatures w14:val="none"/>
          </w:rPr>
          <w:t>https://consult.environment-agency.g</w:t>
        </w:r>
        <w:r w:rsidRPr="008701CF">
          <w:rPr>
            <w:rStyle w:val="Hyperlink"/>
            <w:rFonts w:eastAsia="Times New Roman" w:cs="Times New Roman"/>
            <w:lang w:val="en-US"/>
            <w14:ligatures w14:val="none"/>
          </w:rPr>
          <w:t>o</w:t>
        </w:r>
        <w:r w:rsidRPr="008701CF">
          <w:rPr>
            <w:rStyle w:val="Hyperlink"/>
            <w:rFonts w:eastAsia="Times New Roman" w:cs="Times New Roman"/>
            <w:lang w:val="en-US"/>
            <w14:ligatures w14:val="none"/>
          </w:rPr>
          <w:t>v.uk/psc/ip26-4rj-wayland-farms-limited/</w:t>
        </w:r>
      </w:hyperlink>
    </w:p>
    <w:p w14:paraId="39697D22" w14:textId="77777777" w:rsidR="0034602F" w:rsidRDefault="0034602F" w:rsidP="00337BFF">
      <w:pPr>
        <w:spacing w:after="0"/>
        <w:rPr>
          <w:rFonts w:eastAsia="Times New Roman" w:cs="Times New Roman"/>
          <w:lang w:val="en-US"/>
          <w14:ligatures w14:val="none"/>
        </w:rPr>
      </w:pPr>
    </w:p>
    <w:p w14:paraId="4FE018DD" w14:textId="0DDDB3F7" w:rsidR="00337BFF" w:rsidRPr="00337BFF" w:rsidRDefault="00337BFF" w:rsidP="00337BFF">
      <w:pPr>
        <w:spacing w:after="0"/>
        <w:rPr>
          <w:rFonts w:eastAsia="Times New Roman" w:cs="Times New Roman"/>
          <w14:ligatures w14:val="none"/>
        </w:rPr>
      </w:pPr>
      <w:r w:rsidRPr="00337BFF">
        <w:rPr>
          <w:rFonts w:eastAsia="Times New Roman" w:cs="Times New Roman"/>
          <w:lang w:val="en-US"/>
          <w14:ligatures w14:val="none"/>
        </w:rPr>
        <w:t>T</w:t>
      </w:r>
      <w:r w:rsidRPr="00337BFF">
        <w:rPr>
          <w:rFonts w:eastAsia="Times New Roman" w:cs="Times New Roman"/>
          <w:b/>
          <w:bCs/>
          <w14:ligatures w14:val="none"/>
        </w:rPr>
        <w:t>he EA can  take account of (though specifics will vary for each application):</w:t>
      </w:r>
    </w:p>
    <w:p w14:paraId="6326C4A7"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Relevant environmental regulatory requirements and technical standards.</w:t>
      </w:r>
    </w:p>
    <w:p w14:paraId="615329DC"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Information on local population and sensitive sites.</w:t>
      </w:r>
    </w:p>
    <w:p w14:paraId="4E79CC0A"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Comments on whether the right process is being used for the activity, for example whether the technology is the right one.</w:t>
      </w:r>
    </w:p>
    <w:p w14:paraId="319583C9"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The shape and use of the land around the site in terms of its potential impact, whether that impact is acceptable and what pollution control or abatement may be required.</w:t>
      </w:r>
    </w:p>
    <w:p w14:paraId="4FED7BED"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The impact of noise and odour from traffic on site.</w:t>
      </w:r>
    </w:p>
    <w:p w14:paraId="64B81EFE" w14:textId="77777777" w:rsidR="00337BFF" w:rsidRPr="00337BFF" w:rsidRDefault="00337BFF" w:rsidP="00337BFF">
      <w:pPr>
        <w:numPr>
          <w:ilvl w:val="0"/>
          <w:numId w:val="1"/>
        </w:numPr>
        <w:spacing w:after="0"/>
        <w:ind w:left="714" w:hanging="357"/>
        <w:rPr>
          <w:rFonts w:eastAsia="Times New Roman" w:cs="Times New Roman"/>
          <w14:ligatures w14:val="none"/>
        </w:rPr>
      </w:pPr>
      <w:r w:rsidRPr="00337BFF">
        <w:rPr>
          <w:rFonts w:eastAsia="Times New Roman" w:cs="Times New Roman"/>
          <w14:ligatures w14:val="none"/>
        </w:rPr>
        <w:t>Permit conditions by providing information that we have not been made aware of in the application, or by correcting incorrect information in the application (e.g. monitoring and techniques to control pollution).</w:t>
      </w:r>
    </w:p>
    <w:p w14:paraId="0689E5B2" w14:textId="77777777" w:rsidR="00337BFF" w:rsidRPr="00337BFF" w:rsidRDefault="00337BFF" w:rsidP="00337BFF">
      <w:pPr>
        <w:spacing w:after="0"/>
        <w:rPr>
          <w:rFonts w:eastAsia="Times New Roman" w:cs="Times New Roman"/>
          <w14:ligatures w14:val="none"/>
        </w:rPr>
      </w:pPr>
      <w:r w:rsidRPr="00337BFF">
        <w:rPr>
          <w:rFonts w:eastAsia="Times New Roman" w:cs="Times New Roman"/>
          <w:b/>
          <w:bCs/>
          <w14:ligatures w14:val="none"/>
        </w:rPr>
        <w:t>But not:</w:t>
      </w:r>
    </w:p>
    <w:p w14:paraId="733D94F5"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Issues beyond those in the relevant environmental regulations.</w:t>
      </w:r>
    </w:p>
    <w:p w14:paraId="1C887D28"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Anything outside the remit of the EPR, e.g. the proposed location of the site, which is done by the local authority via land use planning.</w:t>
      </w:r>
    </w:p>
    <w:p w14:paraId="3B362EA4"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Whether a site should have a formal designation under Habitats Directive or other conservation legislation.</w:t>
      </w:r>
    </w:p>
    <w:p w14:paraId="28A80B84"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Whether the activity should be allowed or not as a matter of principle. For example we will not consider whether wood, gas, or coal should be burnt to produce electricity; only that the options and environmental impact of say wood has been considered. We will not consider whether a waste incinerator proposal should be turned into a sorting and recycle proposal, only that the incinerator options and effect have been considered.</w:t>
      </w:r>
    </w:p>
    <w:p w14:paraId="51CE9ACC"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Land use issues when determining a permit application, even if changing the location of the activity would improve its environmental performance.</w:t>
      </w:r>
    </w:p>
    <w:p w14:paraId="7E1567C3" w14:textId="77777777" w:rsidR="00337BFF" w:rsidRPr="00337BF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The impact of noise and odour from traffic travelling to and from the site.</w:t>
      </w:r>
    </w:p>
    <w:p w14:paraId="163A9403" w14:textId="77777777" w:rsidR="00337BFF" w:rsidRPr="0034602F" w:rsidRDefault="00337BFF" w:rsidP="00337BFF">
      <w:pPr>
        <w:numPr>
          <w:ilvl w:val="0"/>
          <w:numId w:val="2"/>
        </w:numPr>
        <w:spacing w:after="0"/>
        <w:rPr>
          <w:rFonts w:eastAsia="Times New Roman" w:cs="Times New Roman"/>
          <w14:ligatures w14:val="none"/>
        </w:rPr>
      </w:pPr>
      <w:r w:rsidRPr="00337BFF">
        <w:rPr>
          <w:rFonts w:eastAsia="Times New Roman" w:cs="Times New Roman"/>
          <w14:ligatures w14:val="none"/>
        </w:rPr>
        <w:t>The legally defined process we follow to determine a permit.</w:t>
      </w:r>
    </w:p>
    <w:p w14:paraId="4FB3FC5F" w14:textId="77777777" w:rsidR="0034602F" w:rsidRPr="0034602F" w:rsidRDefault="0034602F" w:rsidP="0034602F">
      <w:pPr>
        <w:spacing w:after="0"/>
        <w:rPr>
          <w:rFonts w:eastAsia="Times New Roman" w:cs="Times New Roman"/>
          <w14:ligatures w14:val="none"/>
        </w:rPr>
      </w:pPr>
    </w:p>
    <w:p w14:paraId="75104BA7" w14:textId="77777777" w:rsidR="0034602F" w:rsidRDefault="0034602F" w:rsidP="0034602F">
      <w:pPr>
        <w:spacing w:after="0"/>
        <w:rPr>
          <w:rFonts w:eastAsia="Times New Roman" w:cs="Times New Roman"/>
          <w14:ligatures w14:val="none"/>
        </w:rPr>
      </w:pPr>
    </w:p>
    <w:p w14:paraId="50C7B4E5" w14:textId="79ACA9AC" w:rsidR="0034602F" w:rsidRDefault="0034602F" w:rsidP="0034602F">
      <w:pPr>
        <w:spacing w:after="0"/>
        <w:rPr>
          <w:rFonts w:eastAsia="Times New Roman" w:cs="Times New Roman"/>
          <w14:ligatures w14:val="none"/>
        </w:rPr>
      </w:pPr>
      <w:r>
        <w:rPr>
          <w:rFonts w:eastAsia="Times New Roman" w:cs="Times New Roman"/>
          <w14:ligatures w14:val="none"/>
        </w:rPr>
        <w:t>I have included on the next page links to the some  of  the  responses that have already been submitted that may  assist you with reviewing the application.</w:t>
      </w:r>
    </w:p>
    <w:p w14:paraId="101278E5" w14:textId="77777777" w:rsidR="0034602F" w:rsidRPr="0034602F" w:rsidRDefault="0034602F" w:rsidP="0034602F">
      <w:pPr>
        <w:spacing w:after="0"/>
        <w:rPr>
          <w:rFonts w:eastAsia="Times New Roman" w:cs="Times New Roman"/>
          <w14:ligatures w14:val="none"/>
        </w:rPr>
      </w:pPr>
    </w:p>
    <w:p w14:paraId="7E108AA0" w14:textId="4B1F15D7" w:rsidR="00F847F8" w:rsidRPr="0034602F" w:rsidRDefault="00EB0CC1">
      <w:hyperlink r:id="rId6" w:history="1">
        <w:r w:rsidRPr="0034602F">
          <w:rPr>
            <w:rStyle w:val="Hyperlink"/>
          </w:rPr>
          <w:t>Response 108441956 to IP26 4RJ, Wayland Farms Limited, EPR/XP3632QE/V003: environmental permit consultation - Environment Agency - Citizen Space</w:t>
        </w:r>
      </w:hyperlink>
    </w:p>
    <w:p w14:paraId="48B64D1A" w14:textId="334332AE" w:rsidR="00EB0CC1" w:rsidRPr="0034602F" w:rsidRDefault="00EB0CC1">
      <w:hyperlink r:id="rId7" w:history="1">
        <w:r w:rsidRPr="0034602F">
          <w:rPr>
            <w:rStyle w:val="Hyperlink"/>
          </w:rPr>
          <w:t>Response 972120913 to IP26 4RJ, Wayland Farms Limited, EPR/XP3632QE/V003: environmental permit consultation - Environment Agency - Citizen Space</w:t>
        </w:r>
      </w:hyperlink>
    </w:p>
    <w:p w14:paraId="26656F41" w14:textId="33614D80" w:rsidR="00EB0CC1" w:rsidRPr="0034602F" w:rsidRDefault="00EB0CC1">
      <w:hyperlink r:id="rId8" w:history="1">
        <w:r w:rsidRPr="0034602F">
          <w:rPr>
            <w:rStyle w:val="Hyperlink"/>
          </w:rPr>
          <w:t>Response 944567967 to IP26 4RJ, Wayland Farms Limited, EPR/XP3632QE/V003: environmental permit consultation - Environment Agency - Citizen Space</w:t>
        </w:r>
      </w:hyperlink>
    </w:p>
    <w:p w14:paraId="4437FE26" w14:textId="4260B6F9" w:rsidR="00EB0CC1" w:rsidRPr="0034602F" w:rsidRDefault="0034602F">
      <w:hyperlink r:id="rId9" w:history="1">
        <w:r w:rsidRPr="0034602F">
          <w:rPr>
            <w:rStyle w:val="Hyperlink"/>
          </w:rPr>
          <w:t>Response 735804554 to IP26 4RJ, Wayland Farms Limited, EPR/XP3632QE/V003: environmental permit consultation - Environment Agency - Citizen Space</w:t>
        </w:r>
      </w:hyperlink>
    </w:p>
    <w:p w14:paraId="61997E1A" w14:textId="4D64A122" w:rsidR="0034602F" w:rsidRPr="0034602F" w:rsidRDefault="0034602F">
      <w:hyperlink r:id="rId10" w:history="1">
        <w:r w:rsidRPr="0034602F">
          <w:rPr>
            <w:rStyle w:val="Hyperlink"/>
          </w:rPr>
          <w:t>Response 157178687 to IP26 4RJ, Wayland Farms Limited, EPR/XP3632QE/V003: environmental permit consultation - Environment Agency - Citizen Space</w:t>
        </w:r>
      </w:hyperlink>
    </w:p>
    <w:p w14:paraId="5A7FF110" w14:textId="77777777" w:rsidR="00EB0CC1" w:rsidRPr="0034602F" w:rsidRDefault="00EB0CC1"/>
    <w:sectPr w:rsidR="00EB0CC1" w:rsidRPr="0034602F" w:rsidSect="00337BF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B36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6B60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28729598">
    <w:abstractNumId w:val="0"/>
  </w:num>
  <w:num w:numId="2" w16cid:durableId="801460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FF"/>
    <w:rsid w:val="00337BFF"/>
    <w:rsid w:val="0034602F"/>
    <w:rsid w:val="00B02906"/>
    <w:rsid w:val="00EB0CC1"/>
    <w:rsid w:val="00F84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6BE4D"/>
  <w15:chartTrackingRefBased/>
  <w15:docId w15:val="{126F30AA-D617-4DCD-8AD1-E5086487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BFF"/>
    <w:rPr>
      <w:rFonts w:eastAsiaTheme="majorEastAsia" w:cstheme="majorBidi"/>
      <w:color w:val="272727" w:themeColor="text1" w:themeTint="D8"/>
    </w:rPr>
  </w:style>
  <w:style w:type="paragraph" w:styleId="Title">
    <w:name w:val="Title"/>
    <w:basedOn w:val="Normal"/>
    <w:next w:val="Normal"/>
    <w:link w:val="TitleChar"/>
    <w:uiPriority w:val="10"/>
    <w:qFormat/>
    <w:rsid w:val="00337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BFF"/>
    <w:pPr>
      <w:spacing w:before="160"/>
      <w:jc w:val="center"/>
    </w:pPr>
    <w:rPr>
      <w:i/>
      <w:iCs/>
      <w:color w:val="404040" w:themeColor="text1" w:themeTint="BF"/>
    </w:rPr>
  </w:style>
  <w:style w:type="character" w:customStyle="1" w:styleId="QuoteChar">
    <w:name w:val="Quote Char"/>
    <w:basedOn w:val="DefaultParagraphFont"/>
    <w:link w:val="Quote"/>
    <w:uiPriority w:val="29"/>
    <w:rsid w:val="00337BFF"/>
    <w:rPr>
      <w:i/>
      <w:iCs/>
      <w:color w:val="404040" w:themeColor="text1" w:themeTint="BF"/>
    </w:rPr>
  </w:style>
  <w:style w:type="paragraph" w:styleId="ListParagraph">
    <w:name w:val="List Paragraph"/>
    <w:basedOn w:val="Normal"/>
    <w:uiPriority w:val="34"/>
    <w:qFormat/>
    <w:rsid w:val="00337BFF"/>
    <w:pPr>
      <w:ind w:left="720"/>
      <w:contextualSpacing/>
    </w:pPr>
  </w:style>
  <w:style w:type="character" w:styleId="IntenseEmphasis">
    <w:name w:val="Intense Emphasis"/>
    <w:basedOn w:val="DefaultParagraphFont"/>
    <w:uiPriority w:val="21"/>
    <w:qFormat/>
    <w:rsid w:val="00337BFF"/>
    <w:rPr>
      <w:i/>
      <w:iCs/>
      <w:color w:val="0F4761" w:themeColor="accent1" w:themeShade="BF"/>
    </w:rPr>
  </w:style>
  <w:style w:type="paragraph" w:styleId="IntenseQuote">
    <w:name w:val="Intense Quote"/>
    <w:basedOn w:val="Normal"/>
    <w:next w:val="Normal"/>
    <w:link w:val="IntenseQuoteChar"/>
    <w:uiPriority w:val="30"/>
    <w:qFormat/>
    <w:rsid w:val="00337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BFF"/>
    <w:rPr>
      <w:i/>
      <w:iCs/>
      <w:color w:val="0F4761" w:themeColor="accent1" w:themeShade="BF"/>
    </w:rPr>
  </w:style>
  <w:style w:type="character" w:styleId="IntenseReference">
    <w:name w:val="Intense Reference"/>
    <w:basedOn w:val="DefaultParagraphFont"/>
    <w:uiPriority w:val="32"/>
    <w:qFormat/>
    <w:rsid w:val="00337BFF"/>
    <w:rPr>
      <w:b/>
      <w:bCs/>
      <w:smallCaps/>
      <w:color w:val="0F4761" w:themeColor="accent1" w:themeShade="BF"/>
      <w:spacing w:val="5"/>
    </w:rPr>
  </w:style>
  <w:style w:type="character" w:styleId="Hyperlink">
    <w:name w:val="Hyperlink"/>
    <w:basedOn w:val="DefaultParagraphFont"/>
    <w:uiPriority w:val="99"/>
    <w:unhideWhenUsed/>
    <w:rsid w:val="00EB0CC1"/>
    <w:rPr>
      <w:color w:val="0000FF"/>
      <w:u w:val="single"/>
    </w:rPr>
  </w:style>
  <w:style w:type="character" w:styleId="FollowedHyperlink">
    <w:name w:val="FollowedHyperlink"/>
    <w:basedOn w:val="DefaultParagraphFont"/>
    <w:uiPriority w:val="99"/>
    <w:semiHidden/>
    <w:unhideWhenUsed/>
    <w:rsid w:val="00EB0CC1"/>
    <w:rPr>
      <w:color w:val="96607D" w:themeColor="followedHyperlink"/>
      <w:u w:val="single"/>
    </w:rPr>
  </w:style>
  <w:style w:type="character" w:styleId="UnresolvedMention">
    <w:name w:val="Unresolved Mention"/>
    <w:basedOn w:val="DefaultParagraphFont"/>
    <w:uiPriority w:val="99"/>
    <w:semiHidden/>
    <w:unhideWhenUsed/>
    <w:rsid w:val="00346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environment-agency.gov.uk/psc/ip26-4rj-wayland-farms-limited/consultation/view_respondent?uuId=944567967" TargetMode="External"/><Relationship Id="rId3" Type="http://schemas.openxmlformats.org/officeDocument/2006/relationships/settings" Target="settings.xml"/><Relationship Id="rId7" Type="http://schemas.openxmlformats.org/officeDocument/2006/relationships/hyperlink" Target="https://consult.environment-agency.gov.uk/psc/ip26-4rj-wayland-farms-limited/consultation/view_respondent?uuId=97212091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sult.environment-agency.gov.uk/psc/ip26-4rj-wayland-farms-limited/consultation/view_respondent?uuId=108441956" TargetMode="External"/><Relationship Id="rId11" Type="http://schemas.openxmlformats.org/officeDocument/2006/relationships/fontTable" Target="fontTable.xml"/><Relationship Id="rId5" Type="http://schemas.openxmlformats.org/officeDocument/2006/relationships/hyperlink" Target="https://consult.environment-agency.gov.uk/psc/ip26-4rj-wayland-farms-limited/" TargetMode="External"/><Relationship Id="rId10" Type="http://schemas.openxmlformats.org/officeDocument/2006/relationships/hyperlink" Target="https://consult.environment-agency.gov.uk/psc/ip26-4rj-wayland-farms-limited/consultation/view_respondent?uuId=157178687" TargetMode="External"/><Relationship Id="rId4" Type="http://schemas.openxmlformats.org/officeDocument/2006/relationships/webSettings" Target="webSettings.xml"/><Relationship Id="rId9" Type="http://schemas.openxmlformats.org/officeDocument/2006/relationships/hyperlink" Target="https://consult.environment-agency.gov.uk/psc/ip26-4rj-wayland-farms-limited/consultation/view_respondent?uuId=735804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2024-10-24T16:54:00Z</dcterms:created>
  <dcterms:modified xsi:type="dcterms:W3CDTF">2024-10-24T17:23:00Z</dcterms:modified>
</cp:coreProperties>
</file>